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Системы классификации и кодирования информации</w:t>
            </w:r>
          </w:p>
          <w:p>
            <w:pPr>
              <w:jc w:val="center"/>
              <w:spacing w:after="0" w:line="240" w:lineRule="auto"/>
              <w:rPr>
                <w:sz w:val="32"/>
                <w:szCs w:val="32"/>
              </w:rPr>
            </w:pPr>
            <w:r>
              <w:rPr>
                <w:rFonts w:ascii="Times New Roman" w:hAnsi="Times New Roman" w:cs="Times New Roman"/>
                <w:color w:val="#000000"/>
                <w:sz w:val="32"/>
                <w:szCs w:val="32"/>
              </w:rPr>
              <w:t> К.М.02.ДВ.04.02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«Системы классификации и кодирования информации»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К.М.02.ДВ.04.02 «Системы классификации и кодирования информации».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«Системы классификации и кодирования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Способность принимать участие во внедрении информационных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 знать основные возможности ИС, особенности предметной области автоматизации, устройство и функционирование современных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архитектуру, устройство и функционирование вычислительных систем, основы современных систем управления базами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ИПК-11.3 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ИПК-11.4 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применять современный отечественный и зарубежный опыт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проектировать архитектуру ИС, проверять (верифицировать) архитектуру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владеть инструментами и методами проектирования архитектуры ИС, навыками работы с инструментами и методами верификации архитектуры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методами проверки  результатов исправления дефектов и несоответствий в коде ИС и документации к ИС, навыками работы с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ИПК-11.10 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Способность проводить тестирование компонентов программного обеспечения ИС</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ИПК-9.1 знать предметную область автоматизации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ИПК-9.2 знать инструменты и методы тестирования, возможности ИС</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ИПК-9.3 знать источники информации, необходимой для профессиональной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ИПК-9.4 уметь разрабатывать регламенты тестирования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ИПК-9.5 уметь применять диаграмму Ганта, метод «набегающей волны», типы зависимостей между работами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ИПК-9.6 уметь применять современный отечественный и зарубежный опыт в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ИПК-9.7 владеть навыками оценки (прогнозирование) бюджетов и графиков: метод аналогов, экспертные оценки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ИПК-9.8 владеть методами управления содержанием проекта: документирование требований, анализ продукта, модерируемые совещания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ИПК-9.9 владеть методами управления качеством: контрольные списки, верификация, валидация (приемо-сдаточные испытания)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ИПК-9.10 владеть методами управления коммуникациями в проекте: базовые навыки управления (в том числе проведение презентаций, проведение переговоров, публичные выступления)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К.М.02.ДВ.04.02 «Системы классификации и кодирования информации»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Программная инженерия</w:t>
            </w:r>
          </w:p>
          <w:p>
            <w:pPr>
              <w:jc w:val="center"/>
              <w:spacing w:after="0" w:line="240" w:lineRule="auto"/>
              <w:rPr>
                <w:sz w:val="22"/>
                <w:szCs w:val="22"/>
              </w:rPr>
            </w:pPr>
            <w:r>
              <w:rPr>
                <w:rFonts w:ascii="Times New Roman" w:hAnsi="Times New Roman" w:cs="Times New Roman"/>
                <w:color w:val="#000000"/>
                <w:sz w:val="22"/>
                <w:szCs w:val="22"/>
              </w:rPr>
              <w:t> Проектирование информационных систем</w:t>
            </w:r>
          </w:p>
          <w:p>
            <w:pPr>
              <w:jc w:val="center"/>
              <w:spacing w:after="0" w:line="240" w:lineRule="auto"/>
              <w:rPr>
                <w:sz w:val="22"/>
                <w:szCs w:val="22"/>
              </w:rPr>
            </w:pPr>
            <w:r>
              <w:rPr>
                <w:rFonts w:ascii="Times New Roman" w:hAnsi="Times New Roman" w:cs="Times New Roman"/>
                <w:color w:val="#000000"/>
                <w:sz w:val="22"/>
                <w:szCs w:val="22"/>
              </w:rPr>
              <w:t> Высокоуровневые методы информатики и программирования</w:t>
            </w:r>
          </w:p>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Интернет- программирование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ПК-11, ПК-9</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Системы классификации и кодирования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теории кодирования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шифрования и их применение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Помехоустойчивые коды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криптографические методы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Сведения из теории чисел и сложность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Алгебраические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теории информации. Информационная энтропия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теории кодирования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Сложные циклические,  сверточные и каскадные коды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шифрования и их применение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Аспекты безопасности и основные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598.68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теории кодирования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Элементы теории кодирования</w:t>
            </w:r>
          </w:p>
          <w:p>
            <w:pPr>
              <w:jc w:val="both"/>
              <w:spacing w:after="0" w:line="240" w:lineRule="auto"/>
              <w:rPr>
                <w:sz w:val="24"/>
                <w:szCs w:val="24"/>
              </w:rPr>
            </w:pPr>
            <w:r>
              <w:rPr>
                <w:rFonts w:ascii="Times New Roman" w:hAnsi="Times New Roman" w:cs="Times New Roman"/>
                <w:color w:val="#000000"/>
                <w:sz w:val="24"/>
                <w:szCs w:val="24"/>
              </w:rPr>
              <w:t> Линейные блоковые коды, границы помехоустойчивого кодирования. Код Хэмминга</w:t>
            </w:r>
          </w:p>
          <w:p>
            <w:pPr>
              <w:jc w:val="both"/>
              <w:spacing w:after="0" w:line="240" w:lineRule="auto"/>
              <w:rPr>
                <w:sz w:val="24"/>
                <w:szCs w:val="24"/>
              </w:rPr>
            </w:pPr>
            <w:r>
              <w:rPr>
                <w:rFonts w:ascii="Times New Roman" w:hAnsi="Times New Roman" w:cs="Times New Roman"/>
                <w:color w:val="#000000"/>
                <w:sz w:val="24"/>
                <w:szCs w:val="24"/>
              </w:rPr>
              <w:t> Двоичный код. Расстояние Хэмминга. Кодовое расстояние. Линейный код. Порождающая матрица. Проверочная матрица. Код Хэмминга и его свойства. Построение кода Хэмминга. Циклические коды. Аппаратная реализация кодирования и декодирования.</w:t>
            </w:r>
          </w:p>
          <w:p>
            <w:pPr>
              <w:jc w:val="both"/>
              <w:spacing w:after="0" w:line="240" w:lineRule="auto"/>
              <w:rPr>
                <w:sz w:val="24"/>
                <w:szCs w:val="24"/>
              </w:rPr>
            </w:pPr>
            <w:r>
              <w:rPr>
                <w:rFonts w:ascii="Times New Roman" w:hAnsi="Times New Roman" w:cs="Times New Roman"/>
                <w:color w:val="#000000"/>
                <w:sz w:val="24"/>
                <w:szCs w:val="24"/>
              </w:rPr>
              <w:t> Определение циклического кода, свойства.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шифрования и их применение</w:t>
            </w:r>
          </w:p>
        </w:tc>
      </w:tr>
      <w:tr>
        <w:trPr>
          <w:trHeight w:hRule="exact" w:val="1900.1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Симметричное шифрование: докомпьютерные шифры. Шифр сдвига. Шифр замены. Шифр Виженера. Перестановочные шифры. Одноразовый шифр-блокнот. Программная реализация шифра замены. Симметричное шифрование: обзор современных шифров. Алгоритм AES. Алгоритм 3DES. Алгоритм RC4. Реализация алгоритма 3DES. Асимметричное шифрование: односторонние функции и новые задачи криптографии. Задача факторизации. Задача вычисления дискретного логарифма. Реализация алгоритма быстрого возведения в степень по модулю.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распределения ключей и протоколы распределения ключей. Протокол широкоротой лягушки. Протокол Нидхейма-Шредера. Протокол Отвэй-Риса. Программная реализация протокола Нидхейма-Шредера. Система шифрования RSA.</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Помехоустойчивые коды</w:t>
            </w:r>
          </w:p>
          <w:p>
            <w:pPr>
              <w:jc w:val="center"/>
              <w:spacing w:after="0" w:line="240" w:lineRule="auto"/>
              <w:rPr>
                <w:sz w:val="24"/>
                <w:szCs w:val="24"/>
              </w:rPr>
            </w:pPr>
            <w:r>
              <w:rPr>
                <w:rFonts w:ascii="Times New Roman" w:hAnsi="Times New Roman" w:cs="Times New Roman"/>
                <w:b/>
                <w:color w:val="#000000"/>
                <w:sz w:val="24"/>
                <w:szCs w:val="24"/>
              </w:rPr>
              <w:t> Вопросы для обсуждения на занятии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помехоустойчивых кодов</w:t>
            </w:r>
          </w:p>
          <w:p>
            <w:pPr>
              <w:jc w:val="both"/>
              <w:spacing w:after="0" w:line="240" w:lineRule="auto"/>
              <w:rPr>
                <w:sz w:val="24"/>
                <w:szCs w:val="24"/>
              </w:rPr>
            </w:pPr>
            <w:r>
              <w:rPr>
                <w:rFonts w:ascii="Times New Roman" w:hAnsi="Times New Roman" w:cs="Times New Roman"/>
                <w:color w:val="#000000"/>
                <w:sz w:val="24"/>
                <w:szCs w:val="24"/>
              </w:rPr>
              <w:t> 2.	Элементы теории линейных блоковых кодов</w:t>
            </w:r>
          </w:p>
          <w:p>
            <w:pPr>
              <w:jc w:val="both"/>
              <w:spacing w:after="0" w:line="240" w:lineRule="auto"/>
              <w:rPr>
                <w:sz w:val="24"/>
                <w:szCs w:val="24"/>
              </w:rPr>
            </w:pPr>
            <w:r>
              <w:rPr>
                <w:rFonts w:ascii="Times New Roman" w:hAnsi="Times New Roman" w:cs="Times New Roman"/>
                <w:color w:val="#000000"/>
                <w:sz w:val="24"/>
                <w:szCs w:val="24"/>
              </w:rPr>
              <w:t> 3.	Коды Хэмминга</w:t>
            </w:r>
          </w:p>
          <w:p>
            <w:pPr>
              <w:jc w:val="both"/>
              <w:spacing w:after="0" w:line="240" w:lineRule="auto"/>
              <w:rPr>
                <w:sz w:val="24"/>
                <w:szCs w:val="24"/>
              </w:rPr>
            </w:pPr>
            <w:r>
              <w:rPr>
                <w:rFonts w:ascii="Times New Roman" w:hAnsi="Times New Roman" w:cs="Times New Roman"/>
                <w:color w:val="#000000"/>
                <w:sz w:val="24"/>
                <w:szCs w:val="24"/>
              </w:rPr>
              <w:t> 4.	Декодирование линейных блоковых кодов</w:t>
            </w:r>
          </w:p>
          <w:p>
            <w:pPr>
              <w:jc w:val="both"/>
              <w:spacing w:after="0" w:line="240" w:lineRule="auto"/>
              <w:rPr>
                <w:sz w:val="24"/>
                <w:szCs w:val="24"/>
              </w:rPr>
            </w:pPr>
            <w:r>
              <w:rPr>
                <w:rFonts w:ascii="Times New Roman" w:hAnsi="Times New Roman" w:cs="Times New Roman"/>
                <w:color w:val="#000000"/>
                <w:sz w:val="24"/>
                <w:szCs w:val="24"/>
              </w:rPr>
              <w:t> 5.	Простые преобразования линейного кода</w:t>
            </w:r>
          </w:p>
          <w:p>
            <w:pPr>
              <w:jc w:val="both"/>
              <w:spacing w:after="0" w:line="240" w:lineRule="auto"/>
              <w:rPr>
                <w:sz w:val="24"/>
                <w:szCs w:val="24"/>
              </w:rPr>
            </w:pPr>
            <w:r>
              <w:rPr>
                <w:rFonts w:ascii="Times New Roman" w:hAnsi="Times New Roman" w:cs="Times New Roman"/>
                <w:color w:val="#000000"/>
                <w:sz w:val="24"/>
                <w:szCs w:val="24"/>
              </w:rPr>
              <w:t> 6.	Коды Рида-Маллера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криптографические методы защиты информации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занятии</w:t>
            </w:r>
          </w:p>
          <w:p>
            <w:pPr>
              <w:jc w:val="both"/>
              <w:spacing w:after="0" w:line="240" w:lineRule="auto"/>
              <w:rPr>
                <w:sz w:val="24"/>
                <w:szCs w:val="24"/>
              </w:rPr>
            </w:pPr>
            <w:r>
              <w:rPr>
                <w:rFonts w:ascii="Times New Roman" w:hAnsi="Times New Roman" w:cs="Times New Roman"/>
                <w:color w:val="#000000"/>
                <w:sz w:val="24"/>
                <w:szCs w:val="24"/>
              </w:rPr>
              <w:t> 1.	Основные понятия и задачи криптографии</w:t>
            </w:r>
          </w:p>
          <w:p>
            <w:pPr>
              <w:jc w:val="both"/>
              <w:spacing w:after="0" w:line="240" w:lineRule="auto"/>
              <w:rPr>
                <w:sz w:val="24"/>
                <w:szCs w:val="24"/>
              </w:rPr>
            </w:pPr>
            <w:r>
              <w:rPr>
                <w:rFonts w:ascii="Times New Roman" w:hAnsi="Times New Roman" w:cs="Times New Roman"/>
                <w:color w:val="#000000"/>
                <w:sz w:val="24"/>
                <w:szCs w:val="24"/>
              </w:rPr>
              <w:t> 2.	Задачи криптографии и средства их решения</w:t>
            </w:r>
          </w:p>
          <w:p>
            <w:pPr>
              <w:jc w:val="both"/>
              <w:spacing w:after="0" w:line="240" w:lineRule="auto"/>
              <w:rPr>
                <w:sz w:val="24"/>
                <w:szCs w:val="24"/>
              </w:rPr>
            </w:pPr>
            <w:r>
              <w:rPr>
                <w:rFonts w:ascii="Times New Roman" w:hAnsi="Times New Roman" w:cs="Times New Roman"/>
                <w:color w:val="#000000"/>
                <w:sz w:val="24"/>
                <w:szCs w:val="24"/>
              </w:rPr>
              <w:t> 3.	Конфиденциальность</w:t>
            </w:r>
          </w:p>
          <w:p>
            <w:pPr>
              <w:jc w:val="both"/>
              <w:spacing w:after="0" w:line="240" w:lineRule="auto"/>
              <w:rPr>
                <w:sz w:val="24"/>
                <w:szCs w:val="24"/>
              </w:rPr>
            </w:pPr>
            <w:r>
              <w:rPr>
                <w:rFonts w:ascii="Times New Roman" w:hAnsi="Times New Roman" w:cs="Times New Roman"/>
                <w:color w:val="#000000"/>
                <w:sz w:val="24"/>
                <w:szCs w:val="24"/>
              </w:rPr>
              <w:t> 4.	Целостность</w:t>
            </w:r>
          </w:p>
          <w:p>
            <w:pPr>
              <w:jc w:val="both"/>
              <w:spacing w:after="0" w:line="240" w:lineRule="auto"/>
              <w:rPr>
                <w:sz w:val="24"/>
                <w:szCs w:val="24"/>
              </w:rPr>
            </w:pPr>
            <w:r>
              <w:rPr>
                <w:rFonts w:ascii="Times New Roman" w:hAnsi="Times New Roman" w:cs="Times New Roman"/>
                <w:color w:val="#000000"/>
                <w:sz w:val="24"/>
                <w:szCs w:val="24"/>
              </w:rPr>
              <w:t> 5.	Аутентификация</w:t>
            </w:r>
          </w:p>
          <w:p>
            <w:pPr>
              <w:jc w:val="both"/>
              <w:spacing w:after="0" w:line="240" w:lineRule="auto"/>
              <w:rPr>
                <w:sz w:val="24"/>
                <w:szCs w:val="24"/>
              </w:rPr>
            </w:pPr>
            <w:r>
              <w:rPr>
                <w:rFonts w:ascii="Times New Roman" w:hAnsi="Times New Roman" w:cs="Times New Roman"/>
                <w:color w:val="#000000"/>
                <w:sz w:val="24"/>
                <w:szCs w:val="24"/>
              </w:rPr>
              <w:t> 6.	Формальные модели шифров</w:t>
            </w:r>
          </w:p>
          <w:p>
            <w:pPr>
              <w:jc w:val="both"/>
              <w:spacing w:after="0" w:line="240" w:lineRule="auto"/>
              <w:rPr>
                <w:sz w:val="24"/>
                <w:szCs w:val="24"/>
              </w:rPr>
            </w:pPr>
            <w:r>
              <w:rPr>
                <w:rFonts w:ascii="Times New Roman" w:hAnsi="Times New Roman" w:cs="Times New Roman"/>
                <w:color w:val="#000000"/>
                <w:sz w:val="24"/>
                <w:szCs w:val="24"/>
              </w:rPr>
              <w:t> 7.	Оценки числа смысловых открытых текстов</w:t>
            </w:r>
          </w:p>
          <w:p>
            <w:pPr>
              <w:jc w:val="both"/>
              <w:spacing w:after="0" w:line="240" w:lineRule="auto"/>
              <w:rPr>
                <w:sz w:val="24"/>
                <w:szCs w:val="24"/>
              </w:rPr>
            </w:pPr>
            <w:r>
              <w:rPr>
                <w:rFonts w:ascii="Times New Roman" w:hAnsi="Times New Roman" w:cs="Times New Roman"/>
                <w:color w:val="#000000"/>
                <w:sz w:val="24"/>
                <w:szCs w:val="24"/>
              </w:rPr>
              <w:t> 8.	Шифры гаммирования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«Системы классификации и кодирования информации» / Червенчук И.В..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Кодирование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Тарасова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Шелухин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http://www.iprbookshop.ru/61485.html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кодирования.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Горячкин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Самара:</w:t>
            </w:r>
            <w:r>
              <w:rPr/>
              <w:t xml:space="preserve"> </w:t>
            </w:r>
            <w:r>
              <w:rPr>
                <w:rFonts w:ascii="Times New Roman" w:hAnsi="Times New Roman" w:cs="Times New Roman"/>
                <w:color w:val="#000000"/>
                <w:sz w:val="24"/>
                <w:szCs w:val="24"/>
              </w:rPr>
              <w:t>Поволжский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http://www.iprbookshop.ru/75413.html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кодирования.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потенциальной</w:t>
            </w:r>
            <w:r>
              <w:rPr/>
              <w:t xml:space="preserve"> </w:t>
            </w:r>
            <w:r>
              <w:rPr>
                <w:rFonts w:ascii="Times New Roman" w:hAnsi="Times New Roman" w:cs="Times New Roman"/>
                <w:color w:val="#000000"/>
                <w:sz w:val="24"/>
                <w:szCs w:val="24"/>
              </w:rPr>
              <w:t>помехоустойчивости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Горячкин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Самара:</w:t>
            </w:r>
            <w:r>
              <w:rPr/>
              <w:t xml:space="preserve"> </w:t>
            </w:r>
            <w:r>
              <w:rPr>
                <w:rFonts w:ascii="Times New Roman" w:hAnsi="Times New Roman" w:cs="Times New Roman"/>
                <w:color w:val="#000000"/>
                <w:sz w:val="24"/>
                <w:szCs w:val="24"/>
              </w:rPr>
              <w:t>Поволжский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http://www.iprbookshop.ru/77235.html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Криптографические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Лось</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Нестеренко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978-5-534-01530-0.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https://urait.ru/bcode/413075</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логика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алгоритмов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Макоха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Бережной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http://www.iprbookshop.ru/69397.html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математические</w:t>
            </w:r>
            <w:r>
              <w:rPr/>
              <w:t xml:space="preserve"> </w:t>
            </w:r>
            <w:r>
              <w:rPr>
                <w:rFonts w:ascii="Times New Roman" w:hAnsi="Times New Roman" w:cs="Times New Roman"/>
                <w:color w:val="#000000"/>
                <w:sz w:val="24"/>
                <w:szCs w:val="24"/>
              </w:rPr>
              <w:t>структуры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Вечтомов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978-5-534-08077-3.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Щеглов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Щеглов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978-5-534-04732-5.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https://urait.ru/bcode/433715</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Криптографические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Запечников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978-5-534-02574-3.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https://www.biblio-online.ru/bcode/413316</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572.1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799.7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2024-2025_ФГОС3++2024_Бак-ЗФО-ПИ(24)_plx_Системы классификации и кодирования информации_11111111</dc:title>
  <dc:creator>FastReport.NET</dc:creator>
</cp:coreProperties>
</file>